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2"/>
        <w:gridCol w:w="5102"/>
      </w:tblGrid>
      <w:tr>
        <w:trPr/>
        <w:tc>
          <w:tcPr>
            <w:tcW w:w="5102" w:type="dxa"/>
            <w:tcBorders/>
          </w:tcPr>
          <w:p>
            <w:pPr>
              <w:pStyle w:val="Style18"/>
              <w:rPr/>
            </w:pPr>
            <w:r>
              <w:rPr/>
            </w:r>
          </w:p>
        </w:tc>
        <w:tc>
          <w:tcPr>
            <w:tcW w:w="5102" w:type="dxa"/>
            <w:tcBorders/>
          </w:tcPr>
          <w:p>
            <w:pPr>
              <w:pStyle w:val="WW-"/>
              <w:spacing w:lineRule="auto" w:line="240" w:before="0" w:after="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>
            <w:pPr>
              <w:pStyle w:val="WW-"/>
              <w:spacing w:lineRule="auto" w:line="240" w:before="0" w:after="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труда и социального</w:t>
            </w:r>
          </w:p>
          <w:p>
            <w:pPr>
              <w:pStyle w:val="WW-"/>
              <w:spacing w:lineRule="auto" w:line="240" w:before="0" w:after="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 Ростовской области</w:t>
            </w:r>
          </w:p>
          <w:p>
            <w:pPr>
              <w:pStyle w:val="WW-"/>
              <w:spacing w:lineRule="auto" w:line="240" w:before="0" w:after="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__________И.Н. Шувалова</w:t>
            </w:r>
          </w:p>
          <w:p>
            <w:pPr>
              <w:pStyle w:val="WW-"/>
              <w:spacing w:lineRule="auto" w:line="240" w:before="0" w:after="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WW-"/>
        <w:spacing w:lineRule="auto" w:line="240" w:before="0" w:after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W-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WW-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деятельности</w:t>
      </w:r>
    </w:p>
    <w:p>
      <w:pPr>
        <w:pStyle w:val="WW-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55" w:type="dxa"/>
        <w:jc w:val="left"/>
        <w:tblInd w:w="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55"/>
      </w:tblGrid>
      <w:tr>
        <w:trPr/>
        <w:tc>
          <w:tcPr>
            <w:tcW w:w="10155" w:type="dxa"/>
            <w:tcBorders/>
          </w:tcPr>
          <w:p>
            <w:pPr>
              <w:pStyle w:val="WW-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государственного бюджетного учреждения социального обслуживания населения Ростовской области «</w:t>
            </w:r>
            <w:r>
              <w:rPr>
                <w:bCs/>
                <w:sz w:val="28"/>
                <w:szCs w:val="28"/>
              </w:rPr>
              <w:t>Центр социальной помощи семье и детям г. Донецка»</w:t>
            </w:r>
          </w:p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</w:t>
            </w:r>
          </w:p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учреждении:</w:t>
            </w:r>
          </w:p>
          <w:p>
            <w:pPr>
              <w:pStyle w:val="WW-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1. Государственное бюджетное учреждение социального обслуживания населения</w:t>
            </w:r>
            <w:r>
              <w:rPr>
                <w:sz w:val="28"/>
                <w:szCs w:val="28"/>
              </w:rPr>
              <w:t xml:space="preserve"> Ростовской области «Центр социальной помощи семье и детям г. Донецка»</w:t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(</w:t>
            </w:r>
            <w:r>
              <w:rPr>
                <w:sz w:val="18"/>
                <w:szCs w:val="18"/>
              </w:rPr>
              <w:t>полное официальное наименование учреждения)</w:t>
            </w:r>
          </w:p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00600069 от 13.02.2007</w:t>
            </w:r>
          </w:p>
        </w:tc>
      </w:tr>
      <w:tr>
        <w:trPr>
          <w:trHeight w:val="253" w:hRule="atLeast"/>
        </w:trPr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(свидетельство о внесении в реестр имущества Ростовской области: реестровый номер, дата присвоения реестрового номера)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346341, Ростовская область, г. Донецк, 3 микрорайон, 25</w:t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(юридический адрес, местонахождение)</w:t>
            </w:r>
          </w:p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346341, Ростовская область, г. Донецк, 3 микрорайон, 25</w:t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(почтовый адрес)</w:t>
            </w:r>
          </w:p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Социальная защита населения</w:t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(отрасль)</w:t>
            </w:r>
          </w:p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Деятельность по уходу с обеспечением проживания прочая; предоставление прочих социальных услуг без обеспечения проживания, не включенных в другие группировки</w:t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(основной вид деятельности)</w:t>
            </w:r>
          </w:p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8803,1 тыс. рублей</w:t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(балансовая стоимость недвижимого имущества)</w:t>
            </w:r>
          </w:p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(86368) 2-58-91, факс (86368) 2-58-91</w:t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(телефон, факс)</w:t>
            </w:r>
          </w:p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электронной почты, адрес официального Интернет-сайта)</w:t>
            </w:r>
          </w:p>
          <w:p>
            <w:pPr>
              <w:pStyle w:val="WW-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  <w:lang w:val="en-US"/>
              </w:rPr>
              <w:t>cspsd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donetsk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donland</w:t>
            </w:r>
            <w:hyperlink r:id="rId2">
              <w:r>
                <w:rPr>
                  <w:rStyle w:val="Hyperlink"/>
                  <w:sz w:val="28"/>
                  <w:szCs w:val="28"/>
                </w:rPr>
                <w:t>.</w:t>
              </w:r>
            </w:hyperlink>
            <w:hyperlink r:id="rId3">
              <w:r>
                <w:rPr>
                  <w:rStyle w:val="Internetlink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4">
              <w:r>
                <w:rPr>
                  <w:sz w:val="28"/>
                  <w:szCs w:val="28"/>
                  <w:lang w:val="en-US"/>
                </w:rPr>
                <w:t>http</w:t>
              </w:r>
            </w:hyperlink>
            <w:hyperlink r:id="rId5">
              <w:r>
                <w:rPr>
                  <w:sz w:val="28"/>
                  <w:szCs w:val="28"/>
                </w:rPr>
                <w:t>://</w:t>
              </w:r>
            </w:hyperlink>
            <w:hyperlink r:id="rId6">
              <w:r>
                <w:rPr>
                  <w:sz w:val="28"/>
                  <w:szCs w:val="28"/>
                  <w:lang w:val="en-US"/>
                </w:rPr>
                <w:t>centrfamilydon</w:t>
              </w:r>
            </w:hyperlink>
            <w:hyperlink r:id="rId7">
              <w:r>
                <w:rPr>
                  <w:sz w:val="28"/>
                  <w:szCs w:val="28"/>
                </w:rPr>
                <w:t>.</w:t>
              </w:r>
            </w:hyperlink>
            <w:hyperlink r:id="rId8">
              <w:r>
                <w:rPr>
                  <w:sz w:val="28"/>
                  <w:szCs w:val="28"/>
                  <w:lang w:val="en-US"/>
                </w:rPr>
                <w:t>ru</w:t>
              </w:r>
            </w:hyperlink>
            <w:hyperlink r:id="rId9">
              <w:r>
                <w:rPr>
                  <w:sz w:val="28"/>
                  <w:szCs w:val="28"/>
                  <w:lang w:val="en-US"/>
                </w:rPr>
                <w:t>/</w:t>
              </w:r>
            </w:hyperlink>
          </w:p>
        </w:tc>
      </w:tr>
      <w:tr>
        <w:trPr/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руководителе учреждения:</w:t>
            </w:r>
          </w:p>
          <w:p>
            <w:pPr>
              <w:pStyle w:val="WW-"/>
              <w:widowControl w:val="false"/>
              <w:spacing w:lineRule="auto" w:line="240" w:before="0" w:after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Журавлева Юлия Сергеевна</w:t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460 от 15.11.2023</w:t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WW-"/>
              <w:widowControl w:val="false"/>
              <w:pBdr>
                <w:top w:val="single" w:sz="4" w:space="0" w:color="000000"/>
              </w:pBdr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и номер контракта, заключенного с руководителем учреждения)</w:t>
            </w:r>
          </w:p>
        </w:tc>
      </w:tr>
      <w:tr>
        <w:trPr>
          <w:trHeight w:val="307" w:hRule="atLeast"/>
        </w:trPr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6"/>
                <w:szCs w:val="26"/>
              </w:rPr>
              <w:t>(</w:t>
            </w:r>
            <w:r>
              <w:rPr>
                <w:sz w:val="18"/>
                <w:szCs w:val="18"/>
              </w:rPr>
              <w:t>наименование органа, заключившего контракт)</w:t>
            </w:r>
          </w:p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15.11.2023-14.11.2026</w:t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</w:tcBorders>
          </w:tcPr>
          <w:p>
            <w:pPr>
              <w:pStyle w:val="WW-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(срок действия контракта: начало, окончание)</w:t>
            </w:r>
          </w:p>
        </w:tc>
      </w:tr>
      <w:tr>
        <w:trPr/>
        <w:tc>
          <w:tcPr>
            <w:tcW w:w="10155" w:type="dxa"/>
            <w:tcBorders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155" w:type="dxa"/>
            <w:tcBorders/>
            <w:tcMar>
              <w:left w:w="10" w:type="dxa"/>
              <w:right w:w="10" w:type="dxa"/>
            </w:tcMar>
          </w:tcPr>
          <w:p>
            <w:pPr>
              <w:pStyle w:val="Style18"/>
              <w:widowControl w:val="false"/>
              <w:rPr/>
            </w:pPr>
            <w:r>
              <w:rPr/>
            </w:r>
          </w:p>
        </w:tc>
      </w:tr>
    </w:tbl>
    <w:p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Standard"/>
        <w:ind w:firstLine="709"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firstLine="709"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firstLine="709"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firstLine="709"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1. Краткая характеристика хода реализации Программы</w:t>
      </w:r>
    </w:p>
    <w:p>
      <w:pPr>
        <w:pStyle w:val="Standard"/>
        <w:ind w:firstLine="709" w:left="-567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в предыдущем году</w:t>
      </w:r>
    </w:p>
    <w:p>
      <w:pPr>
        <w:pStyle w:val="Standard"/>
        <w:widowControl/>
        <w:suppressAutoHyphens w:val="true"/>
        <w:bidi w:val="0"/>
        <w:spacing w:before="0" w:after="0"/>
        <w:ind w:firstLine="680" w:left="0" w:righ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widowControl/>
        <w:suppressAutoHyphens w:val="true"/>
        <w:bidi w:val="0"/>
        <w:spacing w:before="0" w:after="0"/>
        <w:ind w:firstLine="680" w:left="0" w:right="0"/>
        <w:jc w:val="both"/>
        <w:textAlignment w:val="baseline"/>
        <w:rPr/>
      </w:pPr>
      <w:r>
        <w:rPr>
          <w:rFonts w:eastAsia="Times New Roman"/>
          <w:sz w:val="28"/>
          <w:szCs w:val="28"/>
        </w:rPr>
        <w:t xml:space="preserve">В 2024 году работа учреждения осуществлялась в соответствии с государственным заданием. В рамках его реализации социальные услуги в полустационарной форме были предоставлены </w:t>
      </w:r>
      <w:r>
        <w:rPr>
          <w:rFonts w:eastAsia="Times New Roman"/>
          <w:color w:themeColor="text1" w:val="000000"/>
          <w:sz w:val="28"/>
          <w:szCs w:val="28"/>
        </w:rPr>
        <w:t xml:space="preserve">271 </w:t>
      </w:r>
      <w:r>
        <w:rPr>
          <w:rFonts w:eastAsia="Times New Roman"/>
          <w:sz w:val="28"/>
          <w:szCs w:val="28"/>
        </w:rPr>
        <w:t xml:space="preserve">получателям </w:t>
      </w:r>
      <w:r>
        <w:rPr>
          <w:rFonts w:eastAsia="Times New Roman"/>
          <w:color w:val="auto"/>
          <w:sz w:val="28"/>
          <w:szCs w:val="28"/>
        </w:rPr>
        <w:t>(76%).</w:t>
      </w:r>
      <w:r>
        <w:rPr>
          <w:rFonts w:eastAsia="Times New Roman"/>
          <w:sz w:val="28"/>
          <w:szCs w:val="28"/>
        </w:rPr>
        <w:t xml:space="preserve"> Социальные услуги в стационарной форме были оказаны </w:t>
      </w:r>
      <w:r>
        <w:rPr>
          <w:rFonts w:eastAsia="Times New Roman"/>
          <w:color w:themeColor="text1" w:val="000000"/>
          <w:sz w:val="28"/>
          <w:szCs w:val="28"/>
        </w:rPr>
        <w:t>120</w:t>
      </w:r>
      <w:r>
        <w:rPr>
          <w:rFonts w:eastAsia="Times New Roman"/>
          <w:sz w:val="28"/>
          <w:szCs w:val="28"/>
        </w:rPr>
        <w:t xml:space="preserve"> несовершеннолетним </w:t>
      </w:r>
      <w:r>
        <w:rPr>
          <w:rFonts w:eastAsia="Times New Roman"/>
          <w:color w:val="auto"/>
          <w:sz w:val="28"/>
          <w:szCs w:val="28"/>
        </w:rPr>
        <w:t>(86%).</w:t>
      </w:r>
    </w:p>
    <w:p>
      <w:pPr>
        <w:pStyle w:val="Default"/>
        <w:widowControl/>
        <w:tabs>
          <w:tab w:val="clear" w:pos="709"/>
          <w:tab w:val="left" w:pos="690" w:leader="none"/>
        </w:tabs>
        <w:suppressAutoHyphens w:val="true"/>
        <w:bidi w:val="0"/>
        <w:spacing w:before="0" w:after="0"/>
        <w:ind w:firstLine="680" w:left="0" w:right="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Подушевой норматив на одного получателя социальных услуг за 2024 год по формам социального обслуживания:</w:t>
      </w:r>
    </w:p>
    <w:p>
      <w:pPr>
        <w:pStyle w:val="Default"/>
        <w:widowControl/>
        <w:suppressAutoHyphens w:val="true"/>
        <w:bidi w:val="0"/>
        <w:spacing w:before="0" w:after="0"/>
        <w:ind w:hanging="0" w:left="0" w:right="0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 стационарной форме утверждено </w:t>
      </w:r>
      <w:r>
        <w:rPr>
          <w:rStyle w:val="S5"/>
          <w:color w:val="070707"/>
          <w:sz w:val="28"/>
          <w:szCs w:val="28"/>
          <w:lang w:eastAsia="ru-RU" w:bidi="hi-IN"/>
        </w:rPr>
        <w:t>226 469,29 р</w:t>
      </w:r>
      <w:r>
        <w:rPr>
          <w:rFonts w:eastAsia="Times New Roman"/>
          <w:sz w:val="28"/>
          <w:szCs w:val="28"/>
        </w:rPr>
        <w:t xml:space="preserve">ублей, </w:t>
      </w:r>
      <w:r>
        <w:rPr>
          <w:sz w:val="28"/>
          <w:szCs w:val="28"/>
          <w:lang w:eastAsia="ru-RU"/>
        </w:rPr>
        <w:t>фактически подушевой норматив за отчётный период составил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160 574,56 рублей</w:t>
      </w:r>
      <w:r>
        <w:rPr>
          <w:rFonts w:eastAsia="Times New Roman"/>
          <w:sz w:val="28"/>
          <w:szCs w:val="28"/>
        </w:rPr>
        <w:t>. В соответствии с планом показатель выполнен на 100%;</w:t>
      </w:r>
    </w:p>
    <w:p>
      <w:pPr>
        <w:pStyle w:val="Default"/>
        <w:widowControl/>
        <w:suppressAutoHyphens w:val="true"/>
        <w:bidi w:val="0"/>
        <w:spacing w:before="0" w:after="0"/>
        <w:ind w:hanging="0" w:left="0" w:right="0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 полустационарной форме утверждено </w:t>
      </w:r>
      <w:r>
        <w:rPr>
          <w:rStyle w:val="S5"/>
          <w:color w:val="070707"/>
          <w:sz w:val="28"/>
          <w:szCs w:val="28"/>
          <w:lang w:eastAsia="ru-RU" w:bidi="hi-IN"/>
        </w:rPr>
        <w:t xml:space="preserve">14 114,89 </w:t>
      </w:r>
      <w:r>
        <w:rPr>
          <w:rFonts w:eastAsia="Times New Roman"/>
          <w:sz w:val="28"/>
          <w:szCs w:val="28"/>
        </w:rPr>
        <w:t xml:space="preserve">рублей, </w:t>
      </w:r>
      <w:r>
        <w:rPr>
          <w:sz w:val="28"/>
          <w:szCs w:val="28"/>
          <w:lang w:eastAsia="ru-RU"/>
        </w:rPr>
        <w:t>фактически подушевой норматив за отчётный период составил 11 624,61</w:t>
      </w:r>
      <w:r>
        <w:rPr>
          <w:rFonts w:eastAsia="Times New Roman"/>
          <w:sz w:val="28"/>
          <w:szCs w:val="28"/>
        </w:rPr>
        <w:t xml:space="preserve"> рублей. В соответствии с планом показатель выполнен на 100%.</w:t>
      </w:r>
    </w:p>
    <w:p>
      <w:pPr>
        <w:pStyle w:val="Default"/>
        <w:widowControl/>
        <w:suppressAutoHyphens w:val="true"/>
        <w:bidi w:val="0"/>
        <w:spacing w:before="0" w:after="0"/>
        <w:ind w:firstLine="680" w:left="0" w:right="0"/>
        <w:jc w:val="both"/>
        <w:textAlignment w:val="baseline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 xml:space="preserve">Объем финансового обеспечения выполнения государственного задания на оказание государственных услуг, предусмотренный государственной программой Ростовской области «Социальная поддержка граждан» (далее – Программа) на 2024 год – </w:t>
      </w:r>
      <w:r>
        <w:rPr>
          <w:color w:val="auto"/>
          <w:sz w:val="28"/>
          <w:szCs w:val="28"/>
        </w:rPr>
        <w:t xml:space="preserve">36 860,5 </w:t>
      </w:r>
      <w:r>
        <w:rPr>
          <w:rFonts w:eastAsia="Times New Roman"/>
          <w:sz w:val="28"/>
          <w:szCs w:val="28"/>
        </w:rPr>
        <w:t>тыс. рублей</w:t>
      </w:r>
      <w:r>
        <w:rPr>
          <w:rFonts w:eastAsia="Times New Roman"/>
          <w:color w:val="8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кассовые расходы на 01.11.2024 составили 24 683,9 тыс. рублей, за отчетный период ожидаемые кассовые расходы </w:t>
      </w:r>
      <w:r>
        <w:rPr>
          <w:rFonts w:eastAsia="Times New Roman"/>
          <w:color w:val="800000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36 860,5 тыс. рублей</w:t>
      </w:r>
      <w:r>
        <w:rPr>
          <w:rFonts w:eastAsia="Times New Roman"/>
          <w:color w:val="800000"/>
          <w:sz w:val="28"/>
          <w:szCs w:val="28"/>
        </w:rPr>
        <w:t>.</w:t>
      </w:r>
    </w:p>
    <w:p>
      <w:pPr>
        <w:pStyle w:val="Default"/>
        <w:widowControl/>
        <w:suppressAutoHyphens w:val="true"/>
        <w:bidi w:val="0"/>
        <w:spacing w:before="0" w:after="0"/>
        <w:ind w:firstLine="680" w:left="0" w:right="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Исполнение утвержденного плана составило на 01.11.2024 – 67,0%, за отчетный период – 100 %.</w:t>
      </w:r>
    </w:p>
    <w:p>
      <w:pPr>
        <w:pStyle w:val="Default"/>
        <w:widowControl/>
        <w:suppressAutoHyphens w:val="true"/>
        <w:bidi w:val="0"/>
        <w:spacing w:before="0" w:after="0"/>
        <w:ind w:firstLine="680" w:left="0" w:right="0"/>
        <w:jc w:val="both"/>
        <w:textAlignment w:val="baseline"/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Объем субсидий на иные цели, предусмотренный Программой на 2024 год – 199,1 тыс. рублей, уточненный план – 1 925,6 тыс. рублей.</w:t>
      </w:r>
      <w:r>
        <w:rPr>
          <w:rFonts w:eastAsia="Times New Roman"/>
          <w:color w:val="800000"/>
          <w:sz w:val="28"/>
          <w:szCs w:val="28"/>
        </w:rPr>
        <w:t xml:space="preserve">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  <w:t xml:space="preserve">Отклонение уточненного плана от Программы связано с изменениями </w:t>
      </w:r>
      <w:r>
        <w:rPr>
          <w:color w:val="auto"/>
          <w:sz w:val="28"/>
          <w:szCs w:val="28"/>
        </w:rPr>
        <w:t>объёма субсидий на иные цели</w:t>
      </w:r>
      <w:r>
        <w:rPr>
          <w:rStyle w:val="Cdcdcdcde8e8e8e8e6e6e6e6edededede8e8e8e8e9e9e9e9eaeaeaeaeeeeeeeeebebebebeeeeeeeeededededf2f2f2f2e8e8e8e8f2f2f2f2f3f3f3f3ebebebebc7c7c7c7edededede0e0e0e0eaeaeaea"/>
          <w:rFonts w:eastAsia="SimSun"/>
          <w:color w:val="auto"/>
          <w:sz w:val="28"/>
          <w:szCs w:val="28"/>
        </w:rPr>
        <w:t xml:space="preserve">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 xml:space="preserve">приказами министерства труда и социального развития Ростовской области </w:t>
      </w:r>
      <w:r>
        <w:rPr>
          <w:color w:val="auto"/>
          <w:sz w:val="28"/>
          <w:szCs w:val="28"/>
          <w:lang w:eastAsia="en-US"/>
        </w:rPr>
        <w:t xml:space="preserve">утвержденным постановлением Правительства Ростовской области от «14» декабря 2023 г. № 332 «Об утверждении Порядка определения объема и условий предоставления из областного бюджета субсидий на иные цели государственным автономным и бюджетным учреждениям Ростовской области, в отношении которых функции и полномочия учредителя осуществляет министерство труда и социального развития Ростовской области» </w:t>
      </w:r>
      <w:r>
        <w:rPr>
          <w:color w:val="auto"/>
          <w:sz w:val="28"/>
          <w:szCs w:val="28"/>
        </w:rPr>
        <w:t xml:space="preserve">и направлений их расходования в 2024 году и на плановый период 2025 и 2026 годах»,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  <w:t>в том числе:</w:t>
      </w:r>
    </w:p>
    <w:p>
      <w:pPr>
        <w:pStyle w:val="Default"/>
        <w:widowControl/>
        <w:suppressAutoHyphens w:val="true"/>
        <w:bidi w:val="0"/>
        <w:spacing w:before="0" w:after="0"/>
        <w:ind w:hanging="0" w:left="0" w:right="0"/>
        <w:jc w:val="both"/>
        <w:textAlignment w:val="baseline"/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</w:pPr>
      <w:r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субсидии бюджетным учреждениям на приобретения основных средств в рамках государственной программы Ростовской области «Социальная поддержка граждан».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  <w:t>Программой деятельности на 2024 год</w:t>
      </w:r>
      <w:r>
        <w:rPr>
          <w:color w:val="auto"/>
          <w:sz w:val="28"/>
          <w:szCs w:val="28"/>
        </w:rPr>
        <w:t xml:space="preserve"> не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  <w:t xml:space="preserve">предусмотрено, уточненный план – 1 479,6 тыс. рублей, </w:t>
      </w:r>
      <w:r>
        <w:rPr>
          <w:rStyle w:val="Cececef1f1f1edededeeeeeee2e2e2edededeeeeeee9e9e9f2f2f2e5e5e5eaeaeaf1f1f1f2f2f2211pt"/>
          <w:b w:val="false"/>
          <w:color w:val="auto"/>
          <w:sz w:val="28"/>
          <w:szCs w:val="28"/>
        </w:rPr>
        <w:t xml:space="preserve">кассовые расходы за отчетный период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  <w:t>составили 1 341,5 тыс. рублей. Исполнение утвержденного плана составило 90,7%.</w:t>
      </w:r>
    </w:p>
    <w:p>
      <w:pPr>
        <w:pStyle w:val="Default"/>
        <w:widowControl/>
        <w:suppressAutoHyphens w:val="true"/>
        <w:bidi w:val="0"/>
        <w:spacing w:before="0" w:after="0"/>
        <w:ind w:hanging="0" w:left="0" w:right="0"/>
        <w:jc w:val="both"/>
        <w:textAlignment w:val="baseline"/>
        <w:rPr>
          <w:rFonts w:eastAsia="Times New Roman"/>
          <w:sz w:val="28"/>
          <w:szCs w:val="28"/>
        </w:rPr>
      </w:pPr>
      <w:r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субсидии бюджетным учреждениям на осуществления противопожарных мероприятий в  рамках государственной программы Ростовской области «Социальная поддержка граждан»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  <w:t>Программой деятельности на 2024 год</w:t>
      </w:r>
      <w:r>
        <w:rPr>
          <w:color w:val="auto"/>
          <w:sz w:val="28"/>
          <w:szCs w:val="28"/>
        </w:rPr>
        <w:t xml:space="preserve"> не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  <w:t xml:space="preserve">предусмотрено, уточненный план – 247,6 тыс. рублей, </w:t>
      </w:r>
      <w:r>
        <w:rPr>
          <w:rStyle w:val="Cececef1f1f1edededeeeeeee2e2e2edededeeeeeee9e9e9f2f2f2e5e5e5eaeaeaf1f1f1f2f2f2211pt"/>
          <w:b w:val="false"/>
          <w:color w:val="auto"/>
          <w:sz w:val="28"/>
          <w:szCs w:val="28"/>
        </w:rPr>
        <w:t xml:space="preserve">кассовые расходы за отчетный период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b w:val="false"/>
          <w:color w:val="auto"/>
          <w:sz w:val="28"/>
          <w:szCs w:val="28"/>
        </w:rPr>
        <w:t>составили 245,1 тыс. рублей. Исполнение утвержденного плана составило 98,9%.</w:t>
      </w:r>
      <w:r>
        <w:rPr>
          <w:rStyle w:val="Cececef1f1f1edededeeeeeee2e2e2edededeeeeeee9e9e9f2f2f2e5e5e5eaeaeaf1f1f1f2f2f2211pt"/>
          <w:b w:val="false"/>
          <w:color w:val="auto"/>
          <w:sz w:val="28"/>
          <w:szCs w:val="28"/>
        </w:rPr>
        <w:t>;</w:t>
      </w:r>
    </w:p>
    <w:p>
      <w:pPr>
        <w:pStyle w:val="Default"/>
        <w:widowControl/>
        <w:suppressAutoHyphens w:val="true"/>
        <w:bidi w:val="0"/>
        <w:spacing w:before="0" w:after="0"/>
        <w:ind w:hanging="0" w:left="0" w:right="0"/>
        <w:jc w:val="both"/>
        <w:textAlignment w:val="baseline"/>
        <w:rPr>
          <w:rStyle w:val="Cececef1f1f1edededeeeeeee2e2e2edededeeeeeee9e9e9f2f2f2e5e5e5eaeaeaf1f1f1f2f2f2211pt"/>
          <w:rFonts w:eastAsia="Times New Roman"/>
          <w:b w:val="false"/>
          <w:sz w:val="28"/>
          <w:szCs w:val="28"/>
        </w:rPr>
      </w:pPr>
      <w:r>
        <w:rPr>
          <w:rStyle w:val="Cecececef1f1f1f1ededededeeeeeeeee2e2e2e2ededededeeeeeeeee9e9e9e9f2f2f2f2e5e5e5e5eaeaeaeaf1f1f1f1f2f2f2f2211ptcfcfcfcfeeeeeeeeebebebebf3f3f3f3e6e6e6e6e8e8e8e8f0f0f0f0ededededfbfbfbfbe9e9e9e9"/>
          <w:rFonts w:eastAsia="SimSun"/>
          <w:b w:val="false"/>
          <w:color w:val="auto"/>
          <w:sz w:val="28"/>
          <w:szCs w:val="28"/>
          <w:lang w:eastAsia="ru-RU" w:bidi="hi-IN"/>
        </w:rPr>
        <w:t xml:space="preserve">- </w:t>
      </w:r>
      <w:r>
        <w:rPr>
          <w:color w:val="auto"/>
          <w:sz w:val="28"/>
          <w:szCs w:val="28"/>
        </w:rPr>
        <w:t xml:space="preserve">субсидии бюджетным учреждениям на приобретения мягкого инвентаря    в   рамках государственной программы Ростовской области «Социальная поддержка граждан»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rFonts w:eastAsia="SimSun"/>
          <w:b w:val="false"/>
          <w:color w:val="auto"/>
          <w:sz w:val="28"/>
          <w:szCs w:val="28"/>
          <w:lang w:eastAsia="ru-RU" w:bidi="hi-IN"/>
        </w:rPr>
        <w:t xml:space="preserve">предусмотрено Программой на 2024 год –62,3 тыс. рублей, </w:t>
      </w:r>
      <w:r>
        <w:rPr>
          <w:rStyle w:val="Cececef1f1f1edededeeeeeee2e2e2edededeeeeeee9e9e9f2f2f2e5e5e5eaeaeaf1f1f1f2f2f2211pt"/>
          <w:rFonts w:eastAsia="SimSun"/>
          <w:b w:val="false"/>
          <w:color w:val="auto"/>
          <w:sz w:val="28"/>
          <w:szCs w:val="28"/>
          <w:lang w:eastAsia="ru-RU" w:bidi="hi-IN"/>
        </w:rPr>
        <w:t xml:space="preserve">кассовые расходы за отчетный период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rFonts w:eastAsia="SimSun"/>
          <w:b w:val="false"/>
          <w:color w:val="auto"/>
          <w:sz w:val="28"/>
          <w:szCs w:val="28"/>
          <w:lang w:eastAsia="ru-RU" w:bidi="hi-IN"/>
        </w:rPr>
        <w:t>составили 62,3 тыс. рублей. Исполнение утвержденного плана составило 100%.</w:t>
      </w:r>
      <w:r>
        <w:rPr>
          <w:rStyle w:val="Cececef1f1f1edededeeeeeee2e2e2edededeeeeeee9e9e9f2f2f2e5e5e5eaeaeaf1f1f1f2f2f2211pt"/>
          <w:rFonts w:eastAsia="SimSun"/>
          <w:b w:val="false"/>
          <w:color w:val="auto"/>
          <w:sz w:val="28"/>
          <w:szCs w:val="28"/>
          <w:lang w:eastAsia="ru-RU" w:bidi="hi-IN"/>
        </w:rPr>
        <w:t>;</w:t>
      </w:r>
    </w:p>
    <w:p>
      <w:pPr>
        <w:pStyle w:val="Default"/>
        <w:widowControl/>
        <w:suppressAutoHyphens w:val="true"/>
        <w:bidi w:val="0"/>
        <w:spacing w:before="0" w:after="0"/>
        <w:ind w:hanging="0" w:left="0" w:right="0"/>
        <w:jc w:val="both"/>
        <w:textAlignment w:val="baseline"/>
        <w:rPr>
          <w:rFonts w:eastAsia="Times New Roman"/>
          <w:sz w:val="28"/>
          <w:szCs w:val="28"/>
        </w:rPr>
      </w:pPr>
      <w:r>
        <w:rPr>
          <w:rStyle w:val="Cececef1f1f1edededeeeeeee2e2e2edededeeeeeee9e9e9f2f2f2e5e5e5eaeaeaf1f1f1f2f2f2211pt"/>
          <w:rFonts w:eastAsia="Times New Roman"/>
          <w:b w:val="false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субсидии бюджетным учреждениям на мероприятия по интеграции систем видеонаблюдения учреждений в аппаратно – программный комплекс    «Безопасный город» в    рамках государственной программы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объектах».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rFonts w:eastAsia="SimSun"/>
          <w:b w:val="false"/>
          <w:color w:val="auto"/>
          <w:sz w:val="28"/>
          <w:szCs w:val="28"/>
          <w:lang w:eastAsia="ru-RU" w:bidi="hi-IN"/>
        </w:rPr>
        <w:t>Программой деятельности на 2024 год</w:t>
      </w:r>
      <w:r>
        <w:rPr>
          <w:color w:val="auto"/>
          <w:sz w:val="28"/>
          <w:szCs w:val="28"/>
        </w:rPr>
        <w:t xml:space="preserve"> не </w:t>
      </w:r>
      <w:r>
        <w:rPr>
          <w:rStyle w:val="Cecececef1f1f1f1ededededeeeeeeeee2e2e2e2ededededeeeeeeeee9e9e9e9f2f2f2f2e5e5e5e5eaeaeaeaf1f1f1f1f2f2f2f2211ptcfcfcfcfeeeeeeeeebebebebf3f3f3f3e6e6e6e6e8e8e8e8f0f0f0f0ededededfbfbfbfbe9e9e9e9"/>
          <w:rFonts w:eastAsia="SimSun"/>
          <w:b w:val="false"/>
          <w:color w:val="auto"/>
          <w:sz w:val="28"/>
          <w:szCs w:val="28"/>
          <w:lang w:eastAsia="ru-RU" w:bidi="hi-IN"/>
        </w:rPr>
        <w:t>предусмотрено, уточненный план – 136,1 тыс. рублей, кассовые расходы за отчетный период составили 102,6 тыс. рублей. Исполнение утвержденного плана составило 75,4%.</w:t>
      </w:r>
    </w:p>
    <w:p>
      <w:pPr>
        <w:pStyle w:val="Default"/>
        <w:widowControl/>
        <w:suppressAutoHyphens w:val="true"/>
        <w:bidi w:val="0"/>
        <w:spacing w:before="0" w:after="0"/>
        <w:ind w:firstLine="680" w:left="0" w:right="0"/>
        <w:jc w:val="both"/>
        <w:textAlignment w:val="baseline"/>
        <w:rPr>
          <w:color w:val="040000"/>
          <w:sz w:val="28"/>
          <w:szCs w:val="28"/>
        </w:rPr>
      </w:pPr>
      <w:r>
        <w:rPr>
          <w:rFonts w:eastAsia="Times New Roman"/>
          <w:color w:val="040000"/>
          <w:sz w:val="28"/>
          <w:szCs w:val="28"/>
        </w:rPr>
        <w:t>Центр помощи семье и детям г. Донецка принимает активное участие в международных, всероссийских и областных конкурсах.</w:t>
      </w:r>
    </w:p>
    <w:p>
      <w:pPr>
        <w:pStyle w:val="Default"/>
        <w:widowControl/>
        <w:suppressAutoHyphens w:val="true"/>
        <w:bidi w:val="0"/>
        <w:spacing w:before="0" w:after="0"/>
        <w:ind w:firstLine="680" w:left="0" w:right="0"/>
        <w:jc w:val="both"/>
        <w:textAlignment w:val="baseline"/>
        <w:rPr>
          <w:color w:val="040000"/>
          <w:sz w:val="28"/>
          <w:szCs w:val="28"/>
        </w:rPr>
      </w:pPr>
      <w:r>
        <w:rPr>
          <w:rFonts w:eastAsia="Times New Roman"/>
          <w:color w:val="040000"/>
          <w:sz w:val="28"/>
          <w:szCs w:val="28"/>
        </w:rPr>
        <w:t>Особо важные и ответственные поручения, а также другие поручения министерства труда и социального развития Ростовской области выполнялись в полном объеме в установленные сроки.</w:t>
      </w:r>
    </w:p>
    <w:p>
      <w:pPr>
        <w:pStyle w:val="Standard"/>
        <w:widowControl/>
        <w:suppressAutoHyphens w:val="true"/>
        <w:bidi w:val="0"/>
        <w:spacing w:before="0" w:after="0"/>
        <w:ind w:firstLine="680" w:left="0" w:right="0"/>
        <w:jc w:val="both"/>
        <w:textAlignment w:val="baseline"/>
        <w:rPr>
          <w:rFonts w:ascii="Times New Roman" w:hAnsi="Times New Roman" w:cs="Times New Roman"/>
          <w:color w:val="040000"/>
          <w:sz w:val="28"/>
          <w:szCs w:val="28"/>
        </w:rPr>
      </w:pPr>
      <w:r>
        <w:rPr>
          <w:rFonts w:eastAsia="Calibri" w:cs="Times New Roman" w:ascii="Times New Roman" w:hAnsi="Times New Roman"/>
          <w:color w:val="040000"/>
          <w:sz w:val="28"/>
          <w:szCs w:val="28"/>
          <w:lang w:eastAsia="en-US"/>
        </w:rPr>
        <w:t xml:space="preserve">В 2024 году прошли повышение квалификации 3 работников и </w:t>
      </w:r>
      <w:r>
        <w:rPr>
          <w:rFonts w:cs="Times New Roman" w:ascii="Times New Roman" w:hAnsi="Times New Roman"/>
          <w:color w:val="040000"/>
          <w:sz w:val="28"/>
          <w:szCs w:val="28"/>
        </w:rPr>
        <w:t>профессиональную переподготовку 1 работника</w:t>
      </w:r>
      <w:r>
        <w:rPr>
          <w:rFonts w:eastAsia="Calibri" w:cs="Times New Roman" w:ascii="Times New Roman" w:hAnsi="Times New Roman"/>
          <w:color w:val="040000"/>
          <w:sz w:val="28"/>
          <w:szCs w:val="28"/>
          <w:lang w:eastAsia="en-US"/>
        </w:rPr>
        <w:t xml:space="preserve"> учреждения по следующим </w:t>
      </w:r>
      <w:r>
        <w:rPr>
          <w:rFonts w:cs="Times New Roman" w:ascii="Times New Roman" w:hAnsi="Times New Roman"/>
          <w:color w:val="040000"/>
          <w:sz w:val="28"/>
          <w:szCs w:val="28"/>
        </w:rPr>
        <w:t>программам обучения:</w:t>
      </w:r>
    </w:p>
    <w:p>
      <w:pPr>
        <w:pStyle w:val="Standard"/>
        <w:widowControl/>
        <w:suppressAutoHyphens w:val="true"/>
        <w:bidi w:val="0"/>
        <w:spacing w:before="0" w:after="0"/>
        <w:ind w:hanging="0" w:left="0" w:right="0"/>
        <w:jc w:val="both"/>
        <w:textAlignment w:val="baseline"/>
        <w:rPr>
          <w:rFonts w:ascii="Times New Roman" w:hAnsi="Times New Roman" w:cs="Times New Roman"/>
          <w:color w:val="070707"/>
          <w:sz w:val="28"/>
          <w:szCs w:val="28"/>
        </w:rPr>
      </w:pPr>
      <w:r>
        <w:rPr>
          <w:rFonts w:cs="Times New Roman" w:ascii="Times New Roman" w:hAnsi="Times New Roman"/>
          <w:color w:val="020101"/>
          <w:sz w:val="28"/>
          <w:szCs w:val="28"/>
        </w:rPr>
        <w:t xml:space="preserve">- «Подготовка медицинских работников по проведению предрейсовых, послерейсовых медицинских осмотров водителей автотранспортных средств» (июнь 2024, ЧОУ ДПО «Международная гуманитарная академия» </w:t>
      </w:r>
      <w:r>
        <w:rPr>
          <w:rFonts w:cs="Times New Roman" w:ascii="Times New Roman" w:hAnsi="Times New Roman"/>
          <w:color w:val="070707"/>
          <w:sz w:val="28"/>
          <w:szCs w:val="28"/>
        </w:rPr>
        <w:t>- 1 специалист;</w:t>
      </w:r>
    </w:p>
    <w:p>
      <w:pPr>
        <w:pStyle w:val="Standard"/>
        <w:widowControl/>
        <w:suppressAutoHyphens w:val="true"/>
        <w:bidi w:val="0"/>
        <w:spacing w:before="0" w:after="0"/>
        <w:ind w:hanging="0" w:left="0" w:right="0"/>
        <w:jc w:val="both"/>
        <w:textAlignment w:val="baseline"/>
        <w:rPr>
          <w:rFonts w:ascii="Times New Roman" w:hAnsi="Times New Roman" w:cs="Times New Roman"/>
          <w:color w:val="070707"/>
          <w:sz w:val="28"/>
          <w:szCs w:val="28"/>
        </w:rPr>
      </w:pPr>
      <w:r>
        <w:rPr>
          <w:rFonts w:cs="Times New Roman" w:ascii="Times New Roman" w:hAnsi="Times New Roman"/>
          <w:color w:val="070707"/>
          <w:sz w:val="28"/>
          <w:szCs w:val="28"/>
        </w:rPr>
        <w:t xml:space="preserve">- «Ранняя помощь: правовые, организационные и методические основы» (май 2024,  ФГБУ ФНОЦ МСЭ и Р им Г.А. Альбрехта Минтруда России) — 1 специалист; </w:t>
      </w:r>
    </w:p>
    <w:p>
      <w:pPr>
        <w:pStyle w:val="Standard"/>
        <w:widowControl/>
        <w:suppressAutoHyphens w:val="true"/>
        <w:bidi w:val="0"/>
        <w:spacing w:before="0" w:after="0"/>
        <w:ind w:hanging="0" w:left="0" w:right="0"/>
        <w:jc w:val="both"/>
        <w:textAlignment w:val="baseline"/>
        <w:rPr>
          <w:rFonts w:ascii="Times New Roman" w:hAnsi="Times New Roman" w:cs="Times New Roman"/>
          <w:color w:val="080101"/>
          <w:sz w:val="28"/>
          <w:szCs w:val="28"/>
        </w:rPr>
      </w:pPr>
      <w:r>
        <w:rPr>
          <w:rFonts w:cs="Times New Roman" w:ascii="Times New Roman" w:hAnsi="Times New Roman"/>
          <w:color w:val="070707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80101"/>
          <w:sz w:val="28"/>
          <w:szCs w:val="28"/>
        </w:rPr>
        <w:t>«Профилактика  социально-негативных явлений в молодежной среде» - (август 2024, Национальный центр информационного противодействия терроризму и экстремизму  в образовательной среде  и сети Интернет  ФГАНУ НИИ «Спецвузавтоматика»  г. Москва) — 1 специалист;</w:t>
      </w:r>
    </w:p>
    <w:p>
      <w:pPr>
        <w:pStyle w:val="Standard"/>
        <w:widowControl/>
        <w:suppressAutoHyphens w:val="true"/>
        <w:bidi w:val="0"/>
        <w:spacing w:before="0" w:after="0"/>
        <w:ind w:hanging="0" w:left="0" w:right="0"/>
        <w:jc w:val="both"/>
        <w:textAlignment w:val="baseline"/>
        <w:rPr>
          <w:sz w:val="28"/>
          <w:szCs w:val="28"/>
        </w:rPr>
      </w:pPr>
      <w:r>
        <w:rPr>
          <w:rFonts w:cs="Times New Roman" w:ascii="Times New Roman" w:hAnsi="Times New Roman"/>
          <w:color w:val="020101"/>
          <w:sz w:val="28"/>
          <w:szCs w:val="28"/>
        </w:rPr>
        <w:t xml:space="preserve">- «Педагогическое образование. Воспитатель ДОУ» (ЧПОУ «Донецкий институт Южного Университета (ИУБиП) — 1  специалист. </w:t>
      </w:r>
    </w:p>
    <w:p>
      <w:pPr>
        <w:pStyle w:val="Standard"/>
        <w:jc w:val="both"/>
        <w:rPr>
          <w:color w:val="040000"/>
          <w:sz w:val="28"/>
          <w:szCs w:val="28"/>
        </w:rPr>
      </w:pPr>
      <w:r>
        <w:rPr>
          <w:rFonts w:cs="Times New Roman" w:ascii="Times New Roman" w:hAnsi="Times New Roman"/>
          <w:bCs/>
          <w:color w:val="040000"/>
          <w:sz w:val="28"/>
          <w:szCs w:val="28"/>
          <w:shd w:fill="FFFFFF" w:val="clear"/>
        </w:rPr>
        <w:t>Коэффициент текучести кадров по учреждению за 2024 год составил 39%.</w:t>
      </w:r>
    </w:p>
    <w:p>
      <w:pPr>
        <w:pStyle w:val="Default"/>
        <w:widowControl/>
        <w:suppressAutoHyphens w:val="true"/>
        <w:bidi w:val="0"/>
        <w:spacing w:before="0" w:after="0"/>
        <w:ind w:hanging="0" w:left="0" w:right="0"/>
        <w:jc w:val="both"/>
        <w:textAlignment w:val="baseline"/>
        <w:rPr>
          <w:color w:val="FF0000"/>
          <w:sz w:val="28"/>
          <w:szCs w:val="28"/>
        </w:rPr>
      </w:pPr>
      <w:r>
        <w:rPr>
          <w:rStyle w:val="211pt"/>
          <w:rFonts w:eastAsia="Arial Unicode MS"/>
          <w:b w:val="false"/>
          <w:color w:val="FF0000"/>
          <w:sz w:val="28"/>
          <w:szCs w:val="28"/>
        </w:rPr>
        <w:tab/>
      </w:r>
      <w:r>
        <w:rPr>
          <w:rFonts w:eastAsia="Arial Unicode MS"/>
          <w:bCs/>
          <w:color w:val="040000"/>
          <w:sz w:val="28"/>
          <w:szCs w:val="28"/>
          <w:lang w:bidi="ru-RU"/>
        </w:rPr>
        <w:t>Основные направления деятельности ГБУСОН РО «ЦСПСД г. Донецка» в 2024 году – оказание помощи семьям, детям и отдельным гражданам, попавшим в трудную жизненную ситуацию, через развитие новых форм социального обслуживания несовершеннолетних и их семей, повышение качества предоставляемых услуг и обеспечение соответствия показателей эффективности деятельности учреждения государственному заданию.</w:t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Default"/>
        <w:widowControl/>
        <w:suppressAutoHyphens w:val="true"/>
        <w:bidi w:val="0"/>
        <w:spacing w:before="0" w:after="0"/>
        <w:ind w:firstLine="680" w:left="0" w:right="0"/>
        <w:jc w:val="left"/>
        <w:textAlignment w:val="baseline"/>
        <w:rPr>
          <w:color w:val="040000"/>
        </w:rPr>
      </w:pPr>
      <w:r>
        <w:rPr>
          <w:rFonts w:eastAsia="Arial Unicode MS"/>
          <w:bCs/>
          <w:color w:val="040000"/>
          <w:sz w:val="28"/>
          <w:szCs w:val="28"/>
          <w:lang w:bidi="ru-RU"/>
        </w:rPr>
        <w:t>Все количественные и качественные показатели в 2024 году планируются к выполнению на 100 %.</w:t>
      </w:r>
    </w:p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2. Мероприятия по развитию учреждения</w:t>
      </w:r>
    </w:p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jc w:val="left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3"/>
        <w:gridCol w:w="1876"/>
        <w:gridCol w:w="1471"/>
        <w:gridCol w:w="1410"/>
        <w:gridCol w:w="1125"/>
        <w:gridCol w:w="1139"/>
        <w:gridCol w:w="1125"/>
        <w:gridCol w:w="1142"/>
        <w:gridCol w:w="1693"/>
        <w:gridCol w:w="1562"/>
        <w:gridCol w:w="1917"/>
      </w:tblGrid>
      <w:tr>
        <w:trPr>
          <w:trHeight w:val="808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мероприятия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Источники финансирования</w:t>
            </w:r>
          </w:p>
        </w:tc>
        <w:tc>
          <w:tcPr>
            <w:tcW w:w="5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Сумма затрат</w:t>
            </w:r>
          </w:p>
        </w:tc>
        <w:tc>
          <w:tcPr>
            <w:tcW w:w="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Ожидаемый эффект</w:t>
            </w:r>
          </w:p>
        </w:tc>
      </w:tr>
      <w:tr>
        <w:trPr>
          <w:trHeight w:val="712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 год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(всего)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квартал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II</w:t>
            </w:r>
            <w:r>
              <w:rPr>
                <w:rFonts w:cs="Times New Roman" w:ascii="Times New Roman" w:hAnsi="Times New Roman"/>
              </w:rPr>
              <w:t xml:space="preserve"> квартал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III</w:t>
            </w:r>
            <w:r>
              <w:rPr>
                <w:rFonts w:cs="Times New Roman" w:ascii="Times New Roman" w:hAnsi="Times New Roman"/>
              </w:rPr>
              <w:t xml:space="preserve"> квартал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IV</w:t>
            </w:r>
            <w:r>
              <w:rPr>
                <w:rFonts w:cs="Times New Roman" w:ascii="Times New Roman" w:hAnsi="Times New Roman"/>
              </w:rPr>
              <w:t xml:space="preserve"> квартал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планируемый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</w:rPr>
              <w:t>Год</w:t>
            </w:r>
            <w:r>
              <w:rPr>
                <w:rFonts w:cs="Times New Roman" w:ascii="Times New Roman" w:hAnsi="Times New Roman"/>
                <w:vertAlign w:val="superscript"/>
              </w:rPr>
              <w:t>*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следующий за планируемым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</w:rPr>
              <w:t>2 год</w:t>
            </w:r>
            <w:r>
              <w:rPr>
                <w:rFonts w:cs="Times New Roman" w:ascii="Times New Roman" w:hAnsi="Times New Roman"/>
                <w:vertAlign w:val="superscript"/>
              </w:rPr>
              <w:t>*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следующий за планируемым</w:t>
            </w:r>
          </w:p>
        </w:tc>
      </w:tr>
    </w:tbl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3"/>
        <w:gridCol w:w="1726"/>
        <w:gridCol w:w="2056"/>
        <w:gridCol w:w="1004"/>
        <w:gridCol w:w="1125"/>
        <w:gridCol w:w="1141"/>
        <w:gridCol w:w="1126"/>
        <w:gridCol w:w="1138"/>
        <w:gridCol w:w="1698"/>
        <w:gridCol w:w="1558"/>
        <w:gridCol w:w="1918"/>
      </w:tblGrid>
      <w:tr>
        <w:trPr>
          <w:trHeight w:val="257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uppressAutoHyphens w:val="true"/>
              <w:bidi w:val="0"/>
              <w:spacing w:before="0" w:after="0"/>
              <w:ind w:hanging="0" w:left="113" w:righ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</w:tr>
      <w:tr>
        <w:trPr>
          <w:trHeight w:val="259" w:hRule="atLeast"/>
        </w:trPr>
        <w:tc>
          <w:tcPr>
            <w:tcW w:w="150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 Укрепление материально-технической базы</w:t>
            </w:r>
          </w:p>
        </w:tc>
      </w:tr>
      <w:tr>
        <w:trPr>
          <w:trHeight w:val="233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Приобретение основных средств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6" w:hRule="atLeast"/>
        </w:trPr>
        <w:tc>
          <w:tcPr>
            <w:tcW w:w="150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 Повышение квалификации кадров</w:t>
            </w:r>
          </w:p>
        </w:tc>
      </w:tr>
      <w:tr>
        <w:trPr>
          <w:trHeight w:val="247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3" w:hRule="atLeast"/>
        </w:trPr>
        <w:tc>
          <w:tcPr>
            <w:tcW w:w="150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 Развитие структуры учреждения</w:t>
            </w:r>
          </w:p>
        </w:tc>
      </w:tr>
      <w:tr>
        <w:trPr>
          <w:trHeight w:val="20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Standard"/>
        <w:tabs>
          <w:tab w:val="clear" w:pos="709"/>
          <w:tab w:val="left" w:pos="690" w:leader="none"/>
          <w:tab w:val="left" w:pos="75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3. Бюджет учреждения на планируемый период (финансовое обеспечение Программы)</w:t>
      </w:r>
    </w:p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0"/>
        <w:gridCol w:w="11415"/>
        <w:gridCol w:w="2790"/>
      </w:tblGrid>
      <w:tr>
        <w:trPr>
          <w:tblHeader w:val="true"/>
          <w:trHeight w:val="46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</w:t>
            </w:r>
          </w:p>
        </w:tc>
        <w:tc>
          <w:tcPr>
            <w:tcW w:w="1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Сумма за год</w:t>
            </w:r>
          </w:p>
        </w:tc>
      </w:tr>
    </w:tbl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W w:w="15120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99"/>
        <w:gridCol w:w="11416"/>
        <w:gridCol w:w="2805"/>
      </w:tblGrid>
      <w:tr>
        <w:trPr>
          <w:tblHeader w:val="true"/>
          <w:trHeight w:val="1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trHeight w:val="484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финансового обеспечения выполнения государственного задания на оказание государственных услуг на год, всего в том числе: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37 798,70</w:t>
            </w:r>
          </w:p>
        </w:tc>
      </w:tr>
      <w:tr>
        <w:trPr>
          <w:trHeight w:val="200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объем субсидии на финансовое обеспечение выполнения государственного задания в рамках </w:t>
            </w:r>
            <w:r>
              <w:rPr>
                <w:rFonts w:eastAsia="Times New Roman" w:cs="Times New Roman" w:ascii="Times New Roman" w:hAnsi="Times New Roman"/>
              </w:rPr>
              <w:t>программы Ростовской области «Социальная поддержка граждан»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37 798,70</w:t>
            </w:r>
          </w:p>
        </w:tc>
      </w:tr>
      <w:tr>
        <w:trPr>
          <w:trHeight w:val="331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средств, планируемый к поступлению от получателей социальных услуг за плату, участвующий в расчете финансового обеспечения выполнения государственного задания;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средств, планируемый к поступлению от получателей социальных услуг за плату, не участвующий в расчете финансового обеспечения выполнения государственного задания.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субсидий на иные цели всего, в том числе: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697,10</w:t>
            </w:r>
          </w:p>
        </w:tc>
      </w:tr>
      <w:tr>
        <w:trPr>
          <w:trHeight w:val="206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Субсидия бюджетным  учреждениям на приобретение мягкого инвентаря  в  рамках государственной программы Ростовской области «Социальная поддержка граждан»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66,0</w:t>
            </w:r>
          </w:p>
        </w:tc>
      </w:tr>
      <w:tr>
        <w:trPr>
          <w:trHeight w:val="206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Субсидии бюджетным учреждениям на мероприятия по интеграции систем видеонаблюдения учреждений в аппаратно – программный комплекс «Безопасный город» в рамках государственной программы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136,10</w:t>
            </w:r>
          </w:p>
        </w:tc>
      </w:tr>
      <w:tr>
        <w:trPr>
          <w:trHeight w:val="206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Субсидии бюджетным учреждениям на мероприятия в сфере реабилитации и абилитации инвалидов в рамках государственной программы Ростовской области "Доступная среда"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495,0</w:t>
            </w:r>
          </w:p>
        </w:tc>
      </w:tr>
      <w:tr>
        <w:trPr>
          <w:trHeight w:val="40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Доходы от операций с активами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415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Безвозмездные денежные поступления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421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Доходы от собственности (от аренды активов)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Прочие доходы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38 495,80</w:t>
            </w:r>
          </w:p>
        </w:tc>
      </w:tr>
    </w:tbl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Раздел 4. Показатели деятельности учреждения на планируемый период</w:t>
      </w:r>
    </w:p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Показатели эффективности деятельности учреждения</w:t>
      </w:r>
    </w:p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2025 год</w:t>
      </w:r>
    </w:p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(баллы)</w:t>
      </w:r>
    </w:p>
    <w:tbl>
      <w:tblPr>
        <w:tblW w:w="15105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8"/>
        <w:gridCol w:w="8611"/>
        <w:gridCol w:w="1126"/>
        <w:gridCol w:w="1140"/>
        <w:gridCol w:w="1124"/>
        <w:gridCol w:w="1140"/>
        <w:gridCol w:w="1125"/>
      </w:tblGrid>
      <w:tr>
        <w:trPr>
          <w:tblHeader w:val="true"/>
          <w:trHeight w:val="457" w:hRule="atLeast"/>
          <w:cantSplit w:val="true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8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5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Целевое значение показателя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 планируемый период,</w:t>
            </w:r>
          </w:p>
        </w:tc>
      </w:tr>
      <w:tr>
        <w:trPr>
          <w:trHeight w:val="427" w:hRule="atLeast"/>
          <w:cantSplit w:val="true"/>
        </w:trPr>
        <w:tc>
          <w:tcPr>
            <w:tcW w:w="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I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II</w:t>
            </w:r>
            <w:r>
              <w:rPr>
                <w:rFonts w:cs="Times New Roman" w:ascii="Times New Roman" w:hAnsi="Times New Roman"/>
              </w:rPr>
              <w:t xml:space="preserve"> квартал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III</w:t>
            </w:r>
            <w:r>
              <w:rPr>
                <w:rFonts w:cs="Times New Roman" w:ascii="Times New Roman" w:hAnsi="Times New Roman"/>
              </w:rPr>
              <w:t xml:space="preserve">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IV</w:t>
            </w:r>
            <w:r>
              <w:rPr>
                <w:rFonts w:cs="Times New Roman" w:ascii="Times New Roman" w:hAnsi="Times New Roman"/>
              </w:rPr>
              <w:t xml:space="preserve"> квартал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за год</w:t>
            </w:r>
          </w:p>
        </w:tc>
      </w:tr>
      <w:tr>
        <w:trPr>
          <w:trHeight w:val="279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информационной открытости государственного учреждения (наличие на сайте в сети Интернет необходимой информации)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25</w:t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комплексной безопасности государственного учреждения (отсутствие предписаний контролирующих органов)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10</w:t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Удовлетворенность получателей социальных услуг (отсутствие жалоб получателей социальных услуг и их представителей)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8</w:t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и сохранение благоприятного морально-психологического климата в государственном учреждении (отсутствие жалоб и обращений работников государственных учреждений)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12</w:t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Соблюдение сроков представления соглашений на предоставление субсидий на осуществление государственного задания, плана финансово-хозяйственной деятельности, сведений об операциях с целевыми субсидиями, согласно требованиям минтруда области государственными учреждениями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8</w:t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Достоверное и своевременное представление информации по форме федерального статистического наблюдения № ЗП-соц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8</w:t>
            </w:r>
          </w:p>
        </w:tc>
      </w:tr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оформленных в установленном порядке документов, подтверждающих регистрацию вещных прав на объекты недвижимости и земельные участки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Отсутствие просроченной кредиторской задолженности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Качественное предоставление заявок в ЕАС УОФ АЦК-Финансы для оплаты денежных обязательств государственного учреждения, источником финансирования которых являются субсидии на иные цели. Наличие отказанных заявок от общего числа: до 30%; от 30,1% до 50%; свыше 50,1%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Выполнения планов повышения квалификации, переподготовки кадров учреждения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8</w:t>
            </w:r>
          </w:p>
        </w:tc>
      </w:tr>
      <w:tr>
        <w:trPr>
          <w:trHeight w:val="412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Текучесть кадров государственного учреждения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color w:val="040000"/>
              </w:rPr>
            </w:pPr>
            <w:r>
              <w:rPr>
                <w:rFonts w:cs="Times New Roman" w:ascii="Times New Roman" w:hAnsi="Times New Roman"/>
                <w:color w:val="040000"/>
              </w:rPr>
              <w:t>12</w:t>
            </w:r>
          </w:p>
        </w:tc>
      </w:tr>
    </w:tbl>
    <w:p>
      <w:pPr>
        <w:pStyle w:val="Standard"/>
        <w:tabs>
          <w:tab w:val="clear" w:pos="709"/>
          <w:tab w:val="left" w:pos="690" w:leader="none"/>
          <w:tab w:val="left" w:pos="750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4.2.</w:t>
        <w:tab/>
        <w:tab/>
        <w:t>Дополнительные показатели деятельности учреждения</w:t>
      </w:r>
    </w:p>
    <w:tbl>
      <w:tblPr>
        <w:tblW w:w="15179" w:type="dxa"/>
        <w:jc w:val="left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9"/>
        <w:gridCol w:w="6645"/>
        <w:gridCol w:w="1410"/>
        <w:gridCol w:w="1140"/>
        <w:gridCol w:w="1127"/>
        <w:gridCol w:w="1140"/>
        <w:gridCol w:w="1425"/>
        <w:gridCol w:w="1451"/>
      </w:tblGrid>
      <w:tr>
        <w:trPr>
          <w:tblHeader w:val="true"/>
          <w:trHeight w:val="563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I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квартал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II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III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квартал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IV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квартал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за год</w:t>
            </w:r>
          </w:p>
        </w:tc>
      </w:tr>
      <w:tr>
        <w:trPr>
          <w:tblHeader w:val="true"/>
          <w:trHeight w:val="237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</w:tr>
      <w:tr>
        <w:trPr>
          <w:trHeight w:val="219" w:hRule="atLeast"/>
          <w:cantSplit w:val="true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Планируемое количество получателей социальных услуг, получающих социальные услуги: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человек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4" w:hRule="atLeast"/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стационарной форме;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140</w:t>
            </w:r>
          </w:p>
        </w:tc>
      </w:tr>
      <w:tr>
        <w:trPr>
          <w:trHeight w:val="217" w:hRule="atLeast"/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полустационарной форме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356</w:t>
            </w:r>
          </w:p>
        </w:tc>
      </w:tr>
      <w:tr>
        <w:trPr>
          <w:trHeight w:val="488" w:hRule="atLeast"/>
          <w:cantSplit w:val="true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Подушевой норматив на одного получателя социальных услуг в год,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формам социального обслуживания: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3" w:hRule="atLeast"/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стационарная форма;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232 335,64</w:t>
            </w:r>
          </w:p>
        </w:tc>
      </w:tr>
      <w:tr>
        <w:trPr>
          <w:trHeight w:val="218" w:hRule="atLeast"/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полустационарная форма;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14 451,32</w:t>
            </w:r>
          </w:p>
        </w:tc>
      </w:tr>
      <w:tr>
        <w:trPr>
          <w:cantSplit w:val="true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Выполнение натуральных норм питания по основным видам продуктов (от норматива), 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мясо;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рыба;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молочные продукты;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овощи;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фрукты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247" w:hRule="atLeast"/>
          <w:cantSplit w:val="true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Выполнение норматива на питание на одного человека: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315" w:hRule="atLeast"/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стационарная форма:</w:t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возрасте от 3 до 6 лет;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возрасте от 7 до 18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93 651,20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116 288,30</w:t>
            </w:r>
          </w:p>
        </w:tc>
      </w:tr>
      <w:tr>
        <w:trPr>
          <w:trHeight w:val="247" w:hRule="atLeast"/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полустационарная форма;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59" w:hRule="atLeast"/>
          <w:cantSplit w:val="true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Обеспеченность мягким инвентарем (от норматива), 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9" w:hRule="atLeast"/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одежда;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89" w:hRule="atLeast"/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обувь;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89" w:hRule="atLeast"/>
          <w:cantSplit w:val="true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постельное белье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14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горячего питания в период пребывания на человека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690" w:leader="none"/>
                <w:tab w:val="left" w:pos="75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690" w:leader="none"/>
          <w:tab w:val="left" w:pos="750" w:leader="none"/>
        </w:tabs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Директор ГБУСОН РО «ЦСПСД г. Донецка»</w:t>
        <w:tab/>
        <w:t xml:space="preserve">________________________________________ </w:t>
        <w:tab/>
        <w:t>Ю.С. Журавлева</w:t>
      </w:r>
    </w:p>
    <w:p>
      <w:pPr>
        <w:pStyle w:val="Standard"/>
        <w:tabs>
          <w:tab w:val="clear" w:pos="709"/>
          <w:tab w:val="left" w:pos="3544" w:leader="none"/>
          <w:tab w:val="left" w:pos="5387" w:leader="none"/>
          <w:tab w:val="left" w:pos="7655" w:leader="none"/>
        </w:tabs>
        <w:ind w:right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vertAlign w:val="superscript"/>
          <w:lang w:eastAsia="ru-RU"/>
        </w:rPr>
        <w:tab/>
        <w:tab/>
        <w:tab/>
        <w:t>(дата)</w:t>
        <w:tab/>
        <w:t xml:space="preserve">              (подпись)                                                       (расшифровка подписи)</w:t>
      </w:r>
    </w:p>
    <w:p>
      <w:pPr>
        <w:pStyle w:val="Standard"/>
        <w:tabs>
          <w:tab w:val="clear" w:pos="709"/>
          <w:tab w:val="left" w:pos="3544" w:leader="none"/>
          <w:tab w:val="left" w:pos="5387" w:leader="none"/>
          <w:tab w:val="left" w:pos="7655" w:leader="none"/>
        </w:tabs>
        <w:ind w:right="1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cs="Times New Roman" w:ascii="Times New Roman" w:hAnsi="Times New Roman"/>
          <w:sz w:val="22"/>
          <w:szCs w:val="22"/>
          <w:vertAlign w:val="superscript"/>
          <w:lang w:eastAsia="ru-RU"/>
        </w:rPr>
        <w:t xml:space="preserve">                         </w:t>
      </w:r>
      <w:r>
        <w:rPr>
          <w:rFonts w:cs="Times New Roman" w:ascii="Times New Roman" w:hAnsi="Times New Roman"/>
          <w:sz w:val="22"/>
          <w:szCs w:val="22"/>
          <w:lang w:eastAsia="ru-RU"/>
        </w:rPr>
        <w:t>М.П.</w:t>
      </w:r>
    </w:p>
    <w:sectPr>
      <w:footerReference w:type="default" r:id="rId10"/>
      <w:type w:val="nextPage"/>
      <w:pgSz w:orient="landscape" w:w="16838" w:h="11906"/>
      <w:pgMar w:left="1134" w:right="567" w:gutter="0" w:header="0" w:top="1134" w:footer="1134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2"/>
      <w:jc w:val="right"/>
      <w:rPr/>
    </w:pPr>
    <w:r>
      <w:rPr/>
    </w:r>
  </w:p>
  <w:p>
    <w:pPr>
      <w:pStyle w:val="12"/>
      <w:jc w:val="right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fldChar w:fldCharType="begin"/>
    </w:r>
    <w:r>
      <w:rPr>
        <w:sz w:val="20"/>
        <w:szCs w:val="20"/>
        <w:rFonts w:cs="Times New Roman" w:ascii="Times New Roman" w:hAnsi="Times New Roman"/>
      </w:rPr>
      <w:instrText xml:space="preserve"> PAGE </w:instrText>
    </w:r>
    <w:r>
      <w:rPr>
        <w:sz w:val="20"/>
        <w:szCs w:val="20"/>
        <w:rFonts w:cs="Times New Roman" w:ascii="Times New Roman" w:hAnsi="Times New Roman"/>
      </w:rPr>
      <w:fldChar w:fldCharType="separate"/>
    </w:r>
    <w:r>
      <w:rPr>
        <w:sz w:val="20"/>
        <w:szCs w:val="20"/>
        <w:rFonts w:cs="Times New Roman" w:ascii="Times New Roman" w:hAnsi="Times New Roman"/>
      </w:rPr>
      <w:t>6</w:t>
    </w:r>
    <w:r>
      <w:rPr>
        <w:sz w:val="20"/>
        <w:szCs w:val="20"/>
        <w:rFonts w:cs="Times New Roman" w:ascii="Times New Roman" w:hAnsi="Times New Roman"/>
      </w:rPr>
      <w:fldChar w:fldCharType="end"/>
    </w:r>
  </w:p>
  <w:p>
    <w:pPr>
      <w:pStyle w:val="12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530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910730"/>
    <w:rPr>
      <w:color w:val="000080"/>
      <w:u w:val="single"/>
    </w:rPr>
  </w:style>
  <w:style w:type="character" w:styleId="Extendedtext-short" w:customStyle="1">
    <w:name w:val="extendedtext-short"/>
    <w:qFormat/>
    <w:rsid w:val="00910730"/>
    <w:rPr/>
  </w:style>
  <w:style w:type="character" w:styleId="211pt" w:customStyle="1">
    <w:name w:val="Основной текст (2) + 11 pt;Полужирный"/>
    <w:qFormat/>
    <w:rsid w:val="0091073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Emphasis">
    <w:name w:val="Emphasis"/>
    <w:qFormat/>
    <w:rsid w:val="00910730"/>
    <w:rPr>
      <w:i/>
      <w:iCs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910730"/>
    <w:rPr>
      <w:szCs w:val="21"/>
    </w:rPr>
  </w:style>
  <w:style w:type="character" w:styleId="Hyperlink">
    <w:name w:val="Hyperlink"/>
    <w:basedOn w:val="DefaultParagraphFont"/>
    <w:uiPriority w:val="99"/>
    <w:unhideWhenUsed/>
    <w:rsid w:val="0066069b"/>
    <w:rPr>
      <w:color w:themeColor="hyperlink" w:val="0000FF"/>
      <w:u w:val="single"/>
    </w:rPr>
  </w:style>
  <w:style w:type="character" w:styleId="S5" w:customStyle="1">
    <w:name w:val="s5"/>
    <w:qFormat/>
    <w:rsid w:val="00752d0e"/>
    <w:rPr/>
  </w:style>
  <w:style w:type="character" w:styleId="Cecececef1f1f1f1ededededeeeeeeeee2e2e2e2ededededeeeeeeeee9e9e9e9f2f2f2f2e5e5e5e5eaeaeaeaf1f1f1f1f2f2f2f2211ptcfcfcfcfeeeeeeeeebebebebf3f3f3f3e6e6e6e6e8e8e8e8f0f0f0f0ededededfbfbfbfbe9e9e9e9" w:customStyle="1">
    <w:name w:val="Оcecececeсf1f1f1f1нededededоeeeeeeeeвe2e2e2e2нededededоeeeeeeeeйe9e9e9e9 тf2f2f2f2еe5e5e5e5кeaeaeaeaсf1f1f1f1тf2f2f2f2 (2) + 11 pt;Пcfcfcfcfоeeeeeeeeлebebebebуf3f3f3f3жe6e6e6e6иe8e8e8e8рf0f0f0f0нededededыfbfbfbfbйe9e9e9e9"/>
    <w:qFormat/>
    <w:rsid w:val="00752d0e"/>
    <w:rPr>
      <w:rFonts w:ascii="Times New Roman" w:hAnsi="Times New Roman"/>
      <w:b/>
      <w:color w:val="000000"/>
      <w:sz w:val="22"/>
    </w:rPr>
  </w:style>
  <w:style w:type="character" w:styleId="Cdcdcdcde8e8e8e8e6e6e6e6edededede8e8e8e8e9e9e9e9eaeaeaeaeeeeeeeeebebebebeeeeeeeeededededf2f2f2f2e8e8e8e8f2f2f2f2f3f3f3f3ebebebebc7c7c7c7edededede0e0e0e0eaeaeaea" w:customStyle="1">
    <w:name w:val="Нcdcdcdcdиe8e8e8e8жe6e6e6e6нededededиe8e8e8e8йe9e9e9e9 кeaeaeaeaоeeeeeeeeлebebebebоeeeeeeeeнededededтf2f2f2f2иe8e8e8e8тf2f2f2f2уf3f3f3f3лebebebeb Зc7c7c7c7нededededаe0e0e0e0кeaeaeaea"/>
    <w:basedOn w:val="DefaultParagraphFont"/>
    <w:qFormat/>
    <w:rsid w:val="00752d0e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ececef1f1f1edededeeeeeee2e2e2edededeeeeeee9e9e9f2f2f2e5e5e5eaeaeaf1f1f1f2f2f2211pt" w:customStyle="1">
    <w:name w:val="Оcececeсf1f1f1нedededоeeeeeeвe2e2e2нedededоeeeeeeйe9e9e9 тf2f2f2еe5e5e5кeaeaeaсf1f1f1тf2f2f2 (2) + 11 pt"/>
    <w:qFormat/>
    <w:rsid w:val="00752d0e"/>
    <w:rPr>
      <w:rFonts w:ascii="Times New Roman" w:hAnsi="Times New Roman"/>
      <w:b/>
      <w:color w:val="000000"/>
      <w:sz w:val="22"/>
    </w:rPr>
  </w:style>
  <w:style w:type="paragraph" w:styleId="Style15" w:customStyle="1">
    <w:name w:val="Заголовок"/>
    <w:basedOn w:val="Standard"/>
    <w:next w:val="Textbody"/>
    <w:qFormat/>
    <w:rsid w:val="0091073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910730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" w:customStyle="1">
    <w:name w:val="Указатель1"/>
    <w:basedOn w:val="Standard"/>
    <w:qFormat/>
    <w:rsid w:val="00910730"/>
    <w:pPr>
      <w:suppressLineNumbers/>
    </w:pPr>
    <w:rPr/>
  </w:style>
  <w:style w:type="paragraph" w:styleId="Standard" w:customStyle="1">
    <w:name w:val="Standard"/>
    <w:qFormat/>
    <w:rsid w:val="0091073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910730"/>
    <w:pPr>
      <w:spacing w:lineRule="auto" w:line="276" w:before="0" w:after="140"/>
    </w:pPr>
    <w:rPr/>
  </w:style>
  <w:style w:type="paragraph" w:styleId="11" w:customStyle="1">
    <w:name w:val="Название объекта1"/>
    <w:basedOn w:val="Standard"/>
    <w:qFormat/>
    <w:rsid w:val="00910730"/>
    <w:pPr>
      <w:suppressLineNumbers/>
      <w:spacing w:before="120" w:after="120"/>
    </w:pPr>
    <w:rPr>
      <w:i/>
      <w:iCs/>
    </w:rPr>
  </w:style>
  <w:style w:type="paragraph" w:styleId="Style17" w:customStyle="1">
    <w:name w:val="Блочная цитата"/>
    <w:basedOn w:val="Standard"/>
    <w:qFormat/>
    <w:rsid w:val="00910730"/>
    <w:pPr>
      <w:spacing w:before="0" w:after="283"/>
      <w:ind w:left="567" w:right="567"/>
    </w:pPr>
    <w:rPr/>
  </w:style>
  <w:style w:type="paragraph" w:styleId="Title">
    <w:name w:val="Title"/>
    <w:basedOn w:val="Style15"/>
    <w:next w:val="Textbody"/>
    <w:qFormat/>
    <w:rsid w:val="00910730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Style15"/>
    <w:next w:val="Textbody"/>
    <w:qFormat/>
    <w:rsid w:val="00910730"/>
    <w:pPr>
      <w:spacing w:before="60" w:after="120"/>
      <w:jc w:val="center"/>
    </w:pPr>
    <w:rPr>
      <w:sz w:val="36"/>
      <w:szCs w:val="36"/>
    </w:rPr>
  </w:style>
  <w:style w:type="paragraph" w:styleId="111" w:customStyle="1">
    <w:name w:val="Заголовок 11"/>
    <w:basedOn w:val="Style15"/>
    <w:next w:val="Textbody"/>
    <w:qFormat/>
    <w:rsid w:val="00910730"/>
    <w:pPr>
      <w:outlineLvl w:val="0"/>
    </w:pPr>
    <w:rPr>
      <w:b/>
      <w:bCs/>
    </w:rPr>
  </w:style>
  <w:style w:type="paragraph" w:styleId="21" w:customStyle="1">
    <w:name w:val="Заголовок 21"/>
    <w:basedOn w:val="Style15"/>
    <w:next w:val="Textbody"/>
    <w:qFormat/>
    <w:rsid w:val="00910730"/>
    <w:pPr>
      <w:spacing w:before="200" w:after="120"/>
      <w:outlineLvl w:val="1"/>
    </w:pPr>
    <w:rPr>
      <w:b/>
      <w:bCs/>
    </w:rPr>
  </w:style>
  <w:style w:type="paragraph" w:styleId="31" w:customStyle="1">
    <w:name w:val="Заголовок 31"/>
    <w:basedOn w:val="Style15"/>
    <w:next w:val="Textbody"/>
    <w:qFormat/>
    <w:rsid w:val="00910730"/>
    <w:pPr>
      <w:spacing w:before="140" w:after="120"/>
      <w:outlineLvl w:val="2"/>
    </w:pPr>
    <w:rPr>
      <w:b/>
      <w:bCs/>
    </w:rPr>
  </w:style>
  <w:style w:type="paragraph" w:styleId="WW-" w:customStyle="1">
    <w:name w:val="WW-Базовый"/>
    <w:qFormat/>
    <w:rsid w:val="00910730"/>
    <w:pPr>
      <w:widowControl/>
      <w:tabs>
        <w:tab w:val="left" w:pos="709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18" w:customStyle="1">
    <w:name w:val="Содержимое таблицы"/>
    <w:basedOn w:val="Standard"/>
    <w:qFormat/>
    <w:rsid w:val="00910730"/>
    <w:pPr>
      <w:suppressLineNumbers/>
    </w:pPr>
    <w:rPr>
      <w:rFonts w:ascii="Times New Roman" w:hAnsi="Times New Roman" w:eastAsia="Lucida Sans Unicode" w:cs="Tahoma"/>
      <w:color w:val="000000"/>
      <w:lang w:bidi="en-US"/>
    </w:rPr>
  </w:style>
  <w:style w:type="paragraph" w:styleId="Default" w:customStyle="1">
    <w:name w:val="Default"/>
    <w:qFormat/>
    <w:rsid w:val="0091073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styleId="12" w:customStyle="1">
    <w:name w:val="Нижний колонтитул1"/>
    <w:basedOn w:val="Standard"/>
    <w:qFormat/>
    <w:rsid w:val="00910730"/>
    <w:pPr/>
    <w:rPr/>
  </w:style>
  <w:style w:type="paragraph" w:styleId="Style19" w:customStyle="1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uiPriority w:val="99"/>
    <w:semiHidden/>
    <w:unhideWhenUsed/>
    <w:rsid w:val="00910730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D1d1d1d1f2f2f2f2e8e8e8e8ebebebebfcfcfcfc1" w:customStyle="1">
    <w:name w:val="Сd1d1d1d1тf2f2f2f2иe8e8e8e8лebebebebьfcfcfcfc1"/>
    <w:basedOn w:val="Standard"/>
    <w:qFormat/>
    <w:rsid w:val="00752d0e"/>
    <w:pPr>
      <w:shd w:val="clear" w:color="auto" w:fill="FFFFFF"/>
      <w:ind w:firstLine="709"/>
    </w:pPr>
    <w:rPr>
      <w:rFonts w:cs="Times New Roman"/>
      <w:color w:val="000000"/>
      <w:sz w:val="28"/>
      <w:szCs w:val="28"/>
      <w:lang w:eastAsia="ru-RU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Desktop-56g84h1/&#1086;&#1073;&#1084;&#1077;&#1085;/&#1057;&#1077;&#1084;&#1077;&#1081;&#1085;&#1080;&#1082;&#1086;&#1074;&#1072;/&#1055;&#1088;&#1086;&#1075;&#1088;&#1072;&#1084;&#1084;&#1072;%20&#1076;&#1077;&#1103;&#1090;&#1077;&#1083;&#1100;&#1085;&#1086;&#1089;&#1090;&#1080;/" TargetMode="External"/><Relationship Id="rId3" Type="http://schemas.openxmlformats.org/officeDocument/2006/relationships/hyperlink" Target="mailto:cccccpp@rambler.ru" TargetMode="External"/><Relationship Id="rId4" Type="http://schemas.openxmlformats.org/officeDocument/2006/relationships/hyperlink" Target="http://centrfamilydon.ru/" TargetMode="External"/><Relationship Id="rId5" Type="http://schemas.openxmlformats.org/officeDocument/2006/relationships/hyperlink" Target="http://centrfamilydon.ru/" TargetMode="External"/><Relationship Id="rId6" Type="http://schemas.openxmlformats.org/officeDocument/2006/relationships/hyperlink" Target="http://centrfamilydon.ru/" TargetMode="External"/><Relationship Id="rId7" Type="http://schemas.openxmlformats.org/officeDocument/2006/relationships/hyperlink" Target="http://centrfamilydon.ru/" TargetMode="External"/><Relationship Id="rId8" Type="http://schemas.openxmlformats.org/officeDocument/2006/relationships/hyperlink" Target="http://centrfamilydon.ru/" TargetMode="External"/><Relationship Id="rId9" Type="http://schemas.openxmlformats.org/officeDocument/2006/relationships/hyperlink" Target="http://centrfamilydon.ru/" TargetMode="Externa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453F-D1FD-4C11-B62D-15DB772C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LibreOffice/7.6.0.3$Windows_X86_64 LibreOffice_project/69edd8b8ebc41d00b4de3915dc82f8f0fc3b6265</Application>
  <AppVersion>15.0000</AppVersion>
  <Pages>8</Pages>
  <Words>1695</Words>
  <Characters>10860</Characters>
  <CharactersWithSpaces>12290</CharactersWithSpaces>
  <Paragraphs>407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2024-11-12T10:25:00Z</dcterms:created>
  <dc:creator>Vip</dc:creator>
  <dc:description/>
  <dc:language>ru-RU</dc:language>
  <cp:lastModifiedBy/>
  <dcterms:modified xsi:type="dcterms:W3CDTF">2024-11-20T08:23:03Z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